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616CFC50" w:rsidR="00525704" w:rsidRDefault="00F86E4A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25</w:t>
      </w:r>
      <w:r w:rsidR="00E415B5">
        <w:rPr>
          <w:rFonts w:ascii="Arial" w:hAnsi="Arial" w:cs="Arial"/>
          <w:b/>
          <w:bCs/>
          <w:sz w:val="26"/>
          <w:szCs w:val="26"/>
        </w:rPr>
        <w:t xml:space="preserve"> DE MAIO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1658D18" w14:textId="1CE8D942" w:rsidR="00F9270D" w:rsidRPr="003470D8" w:rsidRDefault="009345D0" w:rsidP="00F9270D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5B0F2839" w14:textId="778F2CC1" w:rsidR="008378AD" w:rsidRDefault="008378AD" w:rsidP="008378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A368DE2" w14:textId="217C9A39" w:rsidR="00F57656" w:rsidRPr="00F57656" w:rsidRDefault="00F57656" w:rsidP="00F57656">
      <w:pPr>
        <w:pStyle w:val="SemEspaamento"/>
        <w:numPr>
          <w:ilvl w:val="0"/>
          <w:numId w:val="23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57656">
        <w:rPr>
          <w:rFonts w:ascii="Arial" w:hAnsi="Arial" w:cs="Arial"/>
          <w:sz w:val="24"/>
          <w:szCs w:val="24"/>
        </w:rPr>
        <w:t>N°02/2023: Regulamenta, no âmbito da Câmara Municipal de Nova Cruz/RN, a Lei nº 14.133, de 01 de abril de 2021, que “Estabelece normas gerais de licitação e contratação para as Administrações Públicas diretas, autárquicas e fundacionais da União, dos Estados, do Distrito Federal e dos Municípios”. De autoria da Mesa Diretora.</w:t>
      </w:r>
    </w:p>
    <w:p w14:paraId="79EE09AA" w14:textId="77777777" w:rsidR="00F57656" w:rsidRPr="00F57656" w:rsidRDefault="00F57656" w:rsidP="00F5765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AB4D309" w14:textId="1B8438CD" w:rsidR="00F57656" w:rsidRDefault="00F57656" w:rsidP="00F57656">
      <w:pPr>
        <w:pStyle w:val="SemEspaamento"/>
        <w:numPr>
          <w:ilvl w:val="0"/>
          <w:numId w:val="23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57656">
        <w:rPr>
          <w:rFonts w:ascii="Arial" w:hAnsi="Arial" w:cs="Arial"/>
          <w:sz w:val="24"/>
          <w:szCs w:val="24"/>
        </w:rPr>
        <w:t>N°03/2023: Dispõe sobre a autorização, instituição e regulamentação de diárias de viagens dos Vereadores e servidores administrativos da Câmara Municipal de Nova Cruz e dá outras providências. De autoria da Mesa Diretora.</w:t>
      </w:r>
    </w:p>
    <w:p w14:paraId="3A83DD46" w14:textId="77777777" w:rsidR="00F57656" w:rsidRPr="008378AD" w:rsidRDefault="00F57656" w:rsidP="00F5765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8E163C" w14:textId="75B7306B" w:rsidR="009F173D" w:rsidRPr="00C66537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1BAA426B" w14:textId="77777777" w:rsidR="00C66537" w:rsidRDefault="00C66537" w:rsidP="00C6653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C2D058" w14:textId="77777777" w:rsidR="00C66537" w:rsidRDefault="00C66537" w:rsidP="00C6653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4D93534A" w14:textId="77777777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Nº07/2023: Concede isenção do Imposto Predial e Territorial Urbano (IPTU) sobre imóvel integrante do patrimônio de portadores de neoplasia maligna (câncer) ou seus dependentes, e dá outras providências. Propositora: Marione Moreira</w:t>
      </w:r>
    </w:p>
    <w:p w14:paraId="1EBACD22" w14:textId="77777777" w:rsidR="00F83BAA" w:rsidRPr="00C66537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C66537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535561FE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</w:t>
      </w: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IMA</w:t>
      </w:r>
      <w:r w:rsidR="00A53B77">
        <w:rPr>
          <w:rFonts w:ascii="Arial" w:hAnsi="Arial" w:cs="Arial"/>
          <w:b/>
          <w:bCs/>
          <w:sz w:val="26"/>
          <w:szCs w:val="26"/>
        </w:rPr>
        <w:t xml:space="preserve"> DIA 31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A53B77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A53B77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8"/>
  </w:num>
  <w:num w:numId="7">
    <w:abstractNumId w:val="1"/>
  </w:num>
  <w:num w:numId="8">
    <w:abstractNumId w:val="3"/>
  </w:num>
  <w:num w:numId="9">
    <w:abstractNumId w:val="20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9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1F7C18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470D8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D02309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9457-FE6E-4BDC-BC16-FB821892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5</cp:revision>
  <cp:lastPrinted>2023-04-19T14:00:00Z</cp:lastPrinted>
  <dcterms:created xsi:type="dcterms:W3CDTF">2023-05-17T14:09:00Z</dcterms:created>
  <dcterms:modified xsi:type="dcterms:W3CDTF">2023-05-25T14:52:00Z</dcterms:modified>
</cp:coreProperties>
</file>